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ind w:firstLine="720"/>
        <w:rPr>
          <w:b w:val="1"/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В соответствии с Федеральным законом от 28 декабря 2013 г. № 426-ФЗ "О специальной оценке условий труда" и на основании ст. 209 и ст. 212 Трудового кодекса РФ.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ind w:firstLine="720"/>
        <w:rPr>
          <w:color w:val="404040"/>
          <w:sz w:val="21"/>
          <w:szCs w:val="21"/>
        </w:rPr>
      </w:pPr>
      <w:r w:rsidDel="00000000" w:rsidR="00000000" w:rsidRPr="00000000">
        <w:rPr>
          <w:color w:val="404040"/>
          <w:sz w:val="21"/>
          <w:szCs w:val="21"/>
          <w:rtl w:val="0"/>
        </w:rPr>
        <w:t xml:space="preserve">В соответствии с п.6 ст. 15 Федерального закона «О специальной оценке условий труда»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 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 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ind w:firstLine="720"/>
        <w:rPr>
          <w:color w:val="404040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